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docXConverter"/>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6C" w:rsidRPr="001970DE" w:rsidRDefault="00243F6C" w:rsidP="00243F6C">
      <w:pPr>
        <w:pBdr>
          <w:bottom w:val="single" w:sz="6" w:space="1" w:color="auto"/>
        </w:pBdr>
        <w:jc w:val="center"/>
        <w:rPr>
          <w:b/>
          <w:bCs/>
          <w:u w:val="single"/>
        </w:rPr>
      </w:pPr>
      <w:r w:rsidRPr="001970DE">
        <w:rPr>
          <w:b/>
          <w:bCs/>
          <w:u w:val="single"/>
        </w:rPr>
        <w:t>Sammanfattning av mötet den 15 jan</w:t>
      </w:r>
    </w:p>
    <w:p w:rsidR="00243F6C" w:rsidRDefault="00243F6C" w:rsidP="006A370A">
      <w:pPr>
        <w:pBdr>
          <w:bottom w:val="single" w:sz="6" w:space="1" w:color="auto"/>
        </w:pBdr>
        <w:jc w:val="center"/>
        <w:rPr>
          <w:b/>
          <w:bCs/>
        </w:rPr>
      </w:pPr>
    </w:p>
    <w:p w:rsidR="00243F6C" w:rsidRPr="0023569D" w:rsidRDefault="00243F6C" w:rsidP="00243F6C">
      <w:pPr>
        <w:pBdr>
          <w:bottom w:val="single" w:sz="6" w:space="1" w:color="auto"/>
        </w:pBdr>
        <w:rPr>
          <w:b/>
          <w:bCs/>
          <w:sz w:val="28"/>
        </w:rPr>
      </w:pPr>
      <w:r w:rsidRPr="0023569D">
        <w:rPr>
          <w:b/>
          <w:bCs/>
          <w:sz w:val="28"/>
        </w:rPr>
        <w:t>Nuläge</w:t>
      </w:r>
    </w:p>
    <w:p w:rsidR="00243F6C" w:rsidRDefault="00243F6C" w:rsidP="006A370A">
      <w:pPr>
        <w:pBdr>
          <w:bottom w:val="single" w:sz="6" w:space="1" w:color="auto"/>
        </w:pBdr>
        <w:jc w:val="center"/>
        <w:rPr>
          <w:b/>
          <w:bCs/>
        </w:rPr>
      </w:pPr>
    </w:p>
    <w:p w:rsidR="00243F6C" w:rsidRPr="00243F6C" w:rsidRDefault="00243F6C" w:rsidP="00243F6C">
      <w:pPr>
        <w:pBdr>
          <w:bottom w:val="single" w:sz="6" w:space="1" w:color="auto"/>
        </w:pBdr>
        <w:rPr>
          <w:bCs/>
        </w:rPr>
      </w:pPr>
      <w:r w:rsidRPr="00243F6C">
        <w:rPr>
          <w:bCs/>
        </w:rPr>
        <w:t xml:space="preserve">S2 kommer fokusera </w:t>
      </w:r>
      <w:proofErr w:type="gramStart"/>
      <w:r w:rsidRPr="00243F6C">
        <w:rPr>
          <w:bCs/>
        </w:rPr>
        <w:t>sin</w:t>
      </w:r>
      <w:proofErr w:type="gramEnd"/>
      <w:r w:rsidRPr="00243F6C">
        <w:rPr>
          <w:bCs/>
        </w:rPr>
        <w:t xml:space="preserve"> system utveckling på att stärka tre huvudfunktioner </w:t>
      </w:r>
      <w:r w:rsidR="00A048B7">
        <w:rPr>
          <w:bCs/>
        </w:rPr>
        <w:t xml:space="preserve">inom TM </w:t>
      </w:r>
      <w:r w:rsidRPr="00243F6C">
        <w:rPr>
          <w:bCs/>
        </w:rPr>
        <w:t xml:space="preserve">på den nya .net plattformen </w:t>
      </w:r>
      <w:r w:rsidR="00A048B7">
        <w:rPr>
          <w:bCs/>
        </w:rPr>
        <w:t xml:space="preserve">(som huvudsakligen har servat CRM-kunder hittills (?) ) </w:t>
      </w:r>
      <w:r w:rsidRPr="00243F6C">
        <w:rPr>
          <w:bCs/>
        </w:rPr>
        <w:t>som man vill att alla kunder ska gå över till. Det är:</w:t>
      </w:r>
    </w:p>
    <w:p w:rsidR="00243F6C" w:rsidRPr="00243F6C" w:rsidRDefault="00243F6C" w:rsidP="00243F6C">
      <w:pPr>
        <w:pBdr>
          <w:bottom w:val="single" w:sz="6" w:space="1" w:color="auto"/>
        </w:pBdr>
        <w:rPr>
          <w:bCs/>
        </w:rPr>
      </w:pPr>
    </w:p>
    <w:p w:rsidR="00243F6C" w:rsidRPr="00C80329" w:rsidRDefault="00243F6C" w:rsidP="00243F6C">
      <w:pPr>
        <w:pBdr>
          <w:bottom w:val="single" w:sz="6" w:space="1" w:color="auto"/>
        </w:pBdr>
        <w:rPr>
          <w:bCs/>
          <w:i/>
          <w:sz w:val="24"/>
        </w:rPr>
      </w:pPr>
      <w:proofErr w:type="gramStart"/>
      <w:r w:rsidRPr="00C80329">
        <w:rPr>
          <w:bCs/>
          <w:i/>
          <w:sz w:val="24"/>
        </w:rPr>
        <w:t>1.  försäljning</w:t>
      </w:r>
      <w:proofErr w:type="gramEnd"/>
      <w:r w:rsidRPr="00C80329">
        <w:rPr>
          <w:bCs/>
          <w:i/>
          <w:sz w:val="24"/>
        </w:rPr>
        <w:t>/orderregistrering</w:t>
      </w:r>
    </w:p>
    <w:p w:rsidR="00243F6C" w:rsidRPr="00C80329" w:rsidRDefault="00243F6C" w:rsidP="00243F6C">
      <w:pPr>
        <w:pBdr>
          <w:bottom w:val="single" w:sz="6" w:space="1" w:color="auto"/>
        </w:pBdr>
        <w:rPr>
          <w:bCs/>
          <w:i/>
          <w:sz w:val="24"/>
        </w:rPr>
      </w:pPr>
      <w:r w:rsidRPr="00C80329">
        <w:rPr>
          <w:bCs/>
          <w:i/>
          <w:sz w:val="24"/>
        </w:rPr>
        <w:t>2. prospektering/marknadsundersökningar</w:t>
      </w:r>
    </w:p>
    <w:p w:rsidR="00243F6C" w:rsidRPr="00C80329" w:rsidRDefault="00243F6C" w:rsidP="00243F6C">
      <w:pPr>
        <w:pBdr>
          <w:bottom w:val="single" w:sz="6" w:space="1" w:color="auto"/>
        </w:pBdr>
        <w:rPr>
          <w:bCs/>
          <w:i/>
          <w:sz w:val="24"/>
        </w:rPr>
      </w:pPr>
      <w:r w:rsidRPr="00C80329">
        <w:rPr>
          <w:bCs/>
          <w:i/>
          <w:sz w:val="24"/>
        </w:rPr>
        <w:t>3. mötesbokning</w:t>
      </w:r>
    </w:p>
    <w:p w:rsidR="00243F6C" w:rsidRDefault="00243F6C" w:rsidP="00243F6C">
      <w:pPr>
        <w:pBdr>
          <w:bottom w:val="single" w:sz="6" w:space="1" w:color="auto"/>
        </w:pBdr>
        <w:rPr>
          <w:bCs/>
        </w:rPr>
      </w:pPr>
    </w:p>
    <w:p w:rsidR="00A048B7" w:rsidRDefault="00A048B7" w:rsidP="00243F6C">
      <w:pPr>
        <w:pBdr>
          <w:bottom w:val="single" w:sz="6" w:space="1" w:color="auto"/>
        </w:pBdr>
        <w:rPr>
          <w:bCs/>
        </w:rPr>
      </w:pPr>
      <w:r>
        <w:rPr>
          <w:bCs/>
        </w:rPr>
        <w:t>Valborg står fast som deadline för den första lanseringen av dessa stärkta funktioner.</w:t>
      </w:r>
    </w:p>
    <w:p w:rsidR="00A048B7" w:rsidRDefault="00A048B7" w:rsidP="00243F6C">
      <w:pPr>
        <w:pBdr>
          <w:bottom w:val="single" w:sz="6" w:space="1" w:color="auto"/>
        </w:pBdr>
        <w:rPr>
          <w:bCs/>
        </w:rPr>
      </w:pPr>
      <w:r>
        <w:rPr>
          <w:bCs/>
        </w:rPr>
        <w:t xml:space="preserve">Utveckling mellan Valborg och </w:t>
      </w:r>
      <w:proofErr w:type="gramStart"/>
      <w:r>
        <w:rPr>
          <w:bCs/>
        </w:rPr>
        <w:t>Oktober</w:t>
      </w:r>
      <w:proofErr w:type="gramEnd"/>
      <w:r>
        <w:rPr>
          <w:bCs/>
        </w:rPr>
        <w:t xml:space="preserve"> ska fokuseras på ny logik för ringlistor, en förändring som inte kommer märkas lika mycket för kunden.</w:t>
      </w:r>
    </w:p>
    <w:p w:rsidR="00A048B7" w:rsidRDefault="00A048B7" w:rsidP="00243F6C">
      <w:pPr>
        <w:pBdr>
          <w:bottom w:val="single" w:sz="6" w:space="1" w:color="auto"/>
        </w:pBdr>
        <w:rPr>
          <w:bCs/>
        </w:rPr>
      </w:pPr>
    </w:p>
    <w:p w:rsidR="00A048B7" w:rsidRPr="0023569D" w:rsidRDefault="0078601A" w:rsidP="00243F6C">
      <w:pPr>
        <w:pBdr>
          <w:bottom w:val="single" w:sz="6" w:space="1" w:color="auto"/>
        </w:pBdr>
        <w:rPr>
          <w:b/>
          <w:bCs/>
          <w:sz w:val="28"/>
        </w:rPr>
      </w:pPr>
      <w:proofErr w:type="gramStart"/>
      <w:r w:rsidRPr="0023569D">
        <w:rPr>
          <w:b/>
          <w:bCs/>
          <w:sz w:val="28"/>
        </w:rPr>
        <w:t xml:space="preserve">Utmaning </w:t>
      </w:r>
      <w:r w:rsidR="00A048B7" w:rsidRPr="0023569D">
        <w:rPr>
          <w:b/>
          <w:bCs/>
          <w:sz w:val="28"/>
        </w:rPr>
        <w:t xml:space="preserve"> –</w:t>
      </w:r>
      <w:proofErr w:type="gramEnd"/>
      <w:r w:rsidR="00A048B7" w:rsidRPr="0023569D">
        <w:rPr>
          <w:b/>
          <w:bCs/>
          <w:sz w:val="28"/>
        </w:rPr>
        <w:t xml:space="preserve"> övertyga gamla kunder om förträffligheten med nya S2.</w:t>
      </w:r>
    </w:p>
    <w:p w:rsidR="00A048B7" w:rsidRDefault="00A048B7" w:rsidP="00243F6C">
      <w:pPr>
        <w:pBdr>
          <w:bottom w:val="single" w:sz="6" w:space="1" w:color="auto"/>
        </w:pBdr>
        <w:rPr>
          <w:bCs/>
        </w:rPr>
      </w:pPr>
    </w:p>
    <w:p w:rsidR="00243F6C" w:rsidRDefault="00243F6C" w:rsidP="00243F6C">
      <w:pPr>
        <w:pBdr>
          <w:bottom w:val="single" w:sz="6" w:space="1" w:color="auto"/>
        </w:pBdr>
        <w:rPr>
          <w:bCs/>
        </w:rPr>
      </w:pPr>
      <w:r>
        <w:rPr>
          <w:bCs/>
        </w:rPr>
        <w:t>Det är viktigt för S2 att samtliga kunder kommer in i det nya S2 systemet eftersom det enbart är där som ny utveckling kommer ske och man vill inte hålla på att supporta och anpassa två system.</w:t>
      </w:r>
    </w:p>
    <w:p w:rsidR="00243F6C" w:rsidRDefault="00243F6C" w:rsidP="00243F6C">
      <w:pPr>
        <w:pBdr>
          <w:bottom w:val="single" w:sz="6" w:space="1" w:color="auto"/>
        </w:pBdr>
        <w:rPr>
          <w:bCs/>
        </w:rPr>
      </w:pPr>
    </w:p>
    <w:p w:rsidR="00243F6C" w:rsidRDefault="00243F6C" w:rsidP="00243F6C">
      <w:pPr>
        <w:pBdr>
          <w:bottom w:val="single" w:sz="6" w:space="1" w:color="auto"/>
        </w:pBdr>
        <w:rPr>
          <w:bCs/>
        </w:rPr>
      </w:pPr>
      <w:r>
        <w:rPr>
          <w:bCs/>
        </w:rPr>
        <w:t>Utmaningen nu består i att ”sälja in” en uppgradering till gamla kunder som tycker livet är ganska bra som det är i gamla S2. Det är därför viktigt att hitta de mervärden i iform av funktioner och upplevelse som det nya S2 ger.</w:t>
      </w:r>
    </w:p>
    <w:p w:rsidR="00A048B7" w:rsidRDefault="00A048B7" w:rsidP="00243F6C">
      <w:pPr>
        <w:pBdr>
          <w:bottom w:val="single" w:sz="6" w:space="1" w:color="auto"/>
        </w:pBdr>
        <w:rPr>
          <w:bCs/>
        </w:rPr>
      </w:pPr>
    </w:p>
    <w:p w:rsidR="00A048B7" w:rsidRDefault="00A048B7" w:rsidP="00243F6C">
      <w:pPr>
        <w:pBdr>
          <w:bottom w:val="single" w:sz="6" w:space="1" w:color="auto"/>
        </w:pBdr>
        <w:rPr>
          <w:bCs/>
        </w:rPr>
      </w:pPr>
      <w:r>
        <w:rPr>
          <w:bCs/>
        </w:rPr>
        <w:t>I samband med nylanseringen är det ett ypperligt läge att presentera en ny paketering av era tjänster för kunden. Så jag föreslår att ni parallellt med utvecklingen jobbar fram en ny paketering som ni kan börja sälja i samband med nylanseringen.</w:t>
      </w:r>
    </w:p>
    <w:p w:rsidR="00A048B7" w:rsidRDefault="00A048B7" w:rsidP="00243F6C">
      <w:pPr>
        <w:pBdr>
          <w:bottom w:val="single" w:sz="6" w:space="1" w:color="auto"/>
        </w:pBdr>
        <w:rPr>
          <w:bCs/>
        </w:rPr>
      </w:pPr>
    </w:p>
    <w:p w:rsidR="003064F2" w:rsidRDefault="003064F2" w:rsidP="00243F6C">
      <w:pPr>
        <w:pBdr>
          <w:bottom w:val="single" w:sz="6" w:space="1" w:color="auto"/>
        </w:pBdr>
        <w:rPr>
          <w:bCs/>
        </w:rPr>
      </w:pPr>
      <w:r>
        <w:rPr>
          <w:bCs/>
        </w:rPr>
        <w:t>Våra diskussioner landade i att en utbildning i nya S2 bör erbjudas alla kunder där kunderna får skicka en representant som blir S2s primära kontaktperson (”superadmin”). Utbildningen hålls i Göteborg, Malmö och Stockholm och kostar ca 2500 kr/person och innehåller lite mer än bara genomgång av nya S2 – för att motivera pris och avsättning av tid för de som kommer.</w:t>
      </w:r>
    </w:p>
    <w:p w:rsidR="003064F2" w:rsidRDefault="003064F2" w:rsidP="00243F6C">
      <w:pPr>
        <w:pBdr>
          <w:bottom w:val="single" w:sz="6" w:space="1" w:color="auto"/>
        </w:pBdr>
        <w:rPr>
          <w:bCs/>
        </w:rPr>
      </w:pPr>
    </w:p>
    <w:p w:rsidR="003064F2" w:rsidRDefault="003064F2" w:rsidP="00243F6C">
      <w:pPr>
        <w:pBdr>
          <w:bottom w:val="single" w:sz="6" w:space="1" w:color="auto"/>
        </w:pBdr>
        <w:rPr>
          <w:bCs/>
        </w:rPr>
      </w:pPr>
      <w:r>
        <w:rPr>
          <w:bCs/>
        </w:rPr>
        <w:t>När utbildningarna hålls ges också möjlighet at</w:t>
      </w:r>
      <w:r w:rsidR="0078601A">
        <w:rPr>
          <w:bCs/>
        </w:rPr>
        <w:t xml:space="preserve">t presentera S2s nya paketering och supportprocess </w:t>
      </w:r>
      <w:proofErr w:type="gramStart"/>
      <w:r w:rsidR="0078601A">
        <w:rPr>
          <w:bCs/>
        </w:rPr>
        <w:t xml:space="preserve">samt </w:t>
      </w:r>
      <w:r>
        <w:rPr>
          <w:bCs/>
        </w:rPr>
        <w:t xml:space="preserve"> boka</w:t>
      </w:r>
      <w:proofErr w:type="gramEnd"/>
      <w:r>
        <w:rPr>
          <w:bCs/>
        </w:rPr>
        <w:t xml:space="preserve"> möten med beställare hos kund för olika former av uppgraderingar. Så jag ser framför mig att ni gör en liten turné – där Morgan bokar in möten med kund dagen efter utbildning för införsäljning.</w:t>
      </w:r>
    </w:p>
    <w:p w:rsidR="003064F2" w:rsidRDefault="003064F2" w:rsidP="00243F6C">
      <w:pPr>
        <w:pBdr>
          <w:bottom w:val="single" w:sz="6" w:space="1" w:color="auto"/>
        </w:pBdr>
        <w:rPr>
          <w:bCs/>
        </w:rPr>
      </w:pPr>
    </w:p>
    <w:p w:rsidR="0078601A" w:rsidRDefault="003064F2" w:rsidP="00243F6C">
      <w:pPr>
        <w:pBdr>
          <w:bottom w:val="single" w:sz="6" w:space="1" w:color="auto"/>
        </w:pBdr>
        <w:rPr>
          <w:bCs/>
          <w:i/>
        </w:rPr>
      </w:pPr>
      <w:r w:rsidRPr="003064F2">
        <w:rPr>
          <w:bCs/>
          <w:i/>
        </w:rPr>
        <w:t>Sammanfattande bil</w:t>
      </w:r>
      <w:r w:rsidR="0078601A">
        <w:rPr>
          <w:bCs/>
          <w:i/>
        </w:rPr>
        <w:t>d</w:t>
      </w:r>
      <w:r w:rsidR="002E2756">
        <w:rPr>
          <w:b/>
          <w:bCs/>
          <w:noProof/>
        </w:rPr>
        <w:drawing>
          <wp:inline distT="0" distB="0" distL="0" distR="0">
            <wp:extent cx="5760720" cy="1850094"/>
            <wp:effectExtent l="0" t="0" r="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064F2" w:rsidRDefault="003064F2" w:rsidP="00243F6C">
      <w:pPr>
        <w:pBdr>
          <w:bottom w:val="single" w:sz="6" w:space="1" w:color="auto"/>
        </w:pBdr>
        <w:rPr>
          <w:bCs/>
          <w:i/>
        </w:rPr>
      </w:pPr>
    </w:p>
    <w:p w:rsidR="0078601A" w:rsidRDefault="0078601A" w:rsidP="00243F6C">
      <w:pPr>
        <w:pBdr>
          <w:bottom w:val="single" w:sz="6" w:space="1" w:color="auto"/>
        </w:pBdr>
        <w:rPr>
          <w:b/>
          <w:bCs/>
        </w:rPr>
      </w:pPr>
    </w:p>
    <w:p w:rsidR="00243F6C" w:rsidRPr="0023569D" w:rsidRDefault="003064F2" w:rsidP="00243F6C">
      <w:pPr>
        <w:pBdr>
          <w:bottom w:val="single" w:sz="6" w:space="1" w:color="auto"/>
        </w:pBdr>
        <w:rPr>
          <w:b/>
          <w:bCs/>
          <w:sz w:val="28"/>
        </w:rPr>
      </w:pPr>
      <w:r w:rsidRPr="0023569D">
        <w:rPr>
          <w:b/>
          <w:bCs/>
          <w:sz w:val="28"/>
        </w:rPr>
        <w:t>Paketering</w:t>
      </w:r>
    </w:p>
    <w:p w:rsidR="003064F2" w:rsidRDefault="003064F2" w:rsidP="00243F6C">
      <w:pPr>
        <w:pBdr>
          <w:bottom w:val="single" w:sz="6" w:space="1" w:color="auto"/>
        </w:pBdr>
        <w:rPr>
          <w:b/>
          <w:bCs/>
        </w:rPr>
      </w:pPr>
    </w:p>
    <w:p w:rsidR="003064F2" w:rsidRDefault="003064F2" w:rsidP="00243F6C">
      <w:pPr>
        <w:pBdr>
          <w:bottom w:val="single" w:sz="6" w:space="1" w:color="auto"/>
        </w:pBdr>
        <w:rPr>
          <w:bCs/>
        </w:rPr>
      </w:pPr>
      <w:r>
        <w:rPr>
          <w:bCs/>
        </w:rPr>
        <w:t xml:space="preserve">Min erfarenhet är att när man ska paketera sin tjänst är det lätt att titta för mycket på tekniska funktioner och för litet på upplevt kundvärde. Exempelvis kan en ny layout av en rapport upplevas </w:t>
      </w:r>
      <w:proofErr w:type="gramStart"/>
      <w:r>
        <w:rPr>
          <w:bCs/>
        </w:rPr>
        <w:t>ha  mycket</w:t>
      </w:r>
      <w:proofErr w:type="gramEnd"/>
      <w:r>
        <w:rPr>
          <w:bCs/>
        </w:rPr>
        <w:t xml:space="preserve"> större värde en en funktion som automatiskt tar fram en rapport åt en baserat på vissa standardinställningar (dvs man slipper själv fylla i ett formulär innan rapportern genereras).</w:t>
      </w:r>
    </w:p>
    <w:p w:rsidR="003064F2" w:rsidRDefault="003064F2" w:rsidP="00243F6C">
      <w:pPr>
        <w:pBdr>
          <w:bottom w:val="single" w:sz="6" w:space="1" w:color="auto"/>
        </w:pBdr>
        <w:rPr>
          <w:bCs/>
        </w:rPr>
      </w:pPr>
    </w:p>
    <w:p w:rsidR="003064F2" w:rsidRDefault="0096384E" w:rsidP="00243F6C">
      <w:pPr>
        <w:pBdr>
          <w:bottom w:val="single" w:sz="6" w:space="1" w:color="auto"/>
        </w:pBdr>
        <w:rPr>
          <w:bCs/>
        </w:rPr>
      </w:pPr>
      <w:r>
        <w:rPr>
          <w:bCs/>
        </w:rPr>
        <w:t>Ni ska också tänka mer på de nya kunderna än de gamla på det sätt att de nya kunderna inte vet vad ni hade förut och vad man fick betala för detta. Slutsatsen är att ”grundpaketet” ska innehålla färre funktioner men kosta lika mycket.</w:t>
      </w:r>
    </w:p>
    <w:p w:rsidR="0096384E" w:rsidRDefault="0096384E" w:rsidP="00243F6C">
      <w:pPr>
        <w:pBdr>
          <w:bottom w:val="single" w:sz="6" w:space="1" w:color="auto"/>
        </w:pBdr>
        <w:rPr>
          <w:bCs/>
        </w:rPr>
      </w:pPr>
    </w:p>
    <w:p w:rsidR="0096384E" w:rsidRDefault="0096384E" w:rsidP="00243F6C">
      <w:pPr>
        <w:pBdr>
          <w:bottom w:val="single" w:sz="6" w:space="1" w:color="auto"/>
        </w:pBdr>
        <w:rPr>
          <w:bCs/>
        </w:rPr>
      </w:pPr>
      <w:r>
        <w:rPr>
          <w:bCs/>
        </w:rPr>
        <w:t xml:space="preserve">Vad gäller implementering av S2 så finns här också säkert en del nya tjänster som ni kan få betalt för nu – och som tidigare låg inbakat i den support som följde direkt på implementeringen. </w:t>
      </w:r>
    </w:p>
    <w:p w:rsidR="0096384E" w:rsidRDefault="0096384E" w:rsidP="00243F6C">
      <w:pPr>
        <w:pBdr>
          <w:bottom w:val="single" w:sz="6" w:space="1" w:color="auto"/>
        </w:pBdr>
        <w:rPr>
          <w:bCs/>
        </w:rPr>
      </w:pPr>
    </w:p>
    <w:p w:rsidR="002E2756" w:rsidRDefault="0096384E" w:rsidP="00243F6C">
      <w:pPr>
        <w:pBdr>
          <w:bottom w:val="single" w:sz="6" w:space="1" w:color="auto"/>
        </w:pBdr>
        <w:rPr>
          <w:bCs/>
        </w:rPr>
      </w:pPr>
      <w:r>
        <w:rPr>
          <w:bCs/>
        </w:rPr>
        <w:t xml:space="preserve">Jag skulle sammanfatta arbetet med </w:t>
      </w:r>
      <w:r w:rsidR="005379C1">
        <w:rPr>
          <w:bCs/>
        </w:rPr>
        <w:t xml:space="preserve">paketering med följande diagram som visar att ni ska ta mer betalt för färre funtkioner. Totalt sett ska det finnas ett större erbjudande och det sker genom komplettering av dels tekniska tjänster i systemet, men också service och konsulttjänster i koppling </w:t>
      </w:r>
      <w:r w:rsidR="002E2756">
        <w:rPr>
          <w:bCs/>
        </w:rPr>
        <w:t>till implementering och support samt ev. differentierade licenser för olika grupper eller funktioner (detta brukar dock komplicera prissättningen för kund).</w:t>
      </w:r>
    </w:p>
    <w:p w:rsidR="005379C1" w:rsidRDefault="005379C1" w:rsidP="00243F6C">
      <w:pPr>
        <w:pBdr>
          <w:bottom w:val="single" w:sz="6" w:space="1" w:color="auto"/>
        </w:pBdr>
        <w:rPr>
          <w:bCs/>
        </w:rPr>
      </w:pPr>
    </w:p>
    <w:p w:rsidR="005379C1" w:rsidRPr="002E2756" w:rsidRDefault="005379C1" w:rsidP="00243F6C">
      <w:pPr>
        <w:pBdr>
          <w:bottom w:val="single" w:sz="6" w:space="1" w:color="auto"/>
        </w:pBdr>
        <w:rPr>
          <w:b/>
          <w:bCs/>
          <w:i/>
        </w:rPr>
      </w:pPr>
      <w:r w:rsidRPr="002E2756">
        <w:rPr>
          <w:b/>
          <w:bCs/>
          <w:i/>
          <w:sz w:val="20"/>
        </w:rPr>
        <w:t>Relativt pris</w:t>
      </w:r>
      <w:r w:rsidRPr="002E2756">
        <w:rPr>
          <w:b/>
          <w:bCs/>
          <w:i/>
        </w:rPr>
        <w:br/>
      </w:r>
    </w:p>
    <w:p w:rsidR="0096384E" w:rsidRDefault="002E2756" w:rsidP="00243F6C">
      <w:pPr>
        <w:pBdr>
          <w:bottom w:val="single" w:sz="6" w:space="1" w:color="auto"/>
        </w:pBdr>
        <w:rPr>
          <w:bCs/>
          <w:noProof/>
        </w:rPr>
      </w:pPr>
      <w:r>
        <w:rPr>
          <w:bCs/>
          <w:noProof/>
        </w:rPr>
        <w:pict>
          <v:oval id="_x0000_s1027" style="position:absolute;margin-left:27.2pt;margin-top:20.75pt;width:304.2pt;height:128.05pt;rotation:-1311322fd;z-index:251659264" fillcolor="#4f81bd [3204]" strokecolor="#f2f2f2 [3041]" strokeweight="3pt">
            <v:shadow on="t" type="perspective" color="#243f60 [1604]" opacity=".5" offset="1pt" offset2="-1pt"/>
          </v:oval>
        </w:pict>
      </w:r>
      <w:r w:rsidR="005379C1">
        <w:rPr>
          <w:bCs/>
          <w:noProof/>
        </w:rPr>
        <w:pict>
          <v:shapetype id="_x0000_t202" coordsize="21600,21600" o:spt="202" path="m,l,21600r21600,l21600,xe">
            <v:stroke joinstyle="miter"/>
            <v:path gradientshapeok="t" o:connecttype="rect"/>
          </v:shapetype>
          <v:shape id="_x0000_s1028" type="#_x0000_t202" style="position:absolute;margin-left:145.9pt;margin-top:43.9pt;width:134.25pt;height:58.5pt;z-index:251661312">
            <v:textbox>
              <w:txbxContent>
                <w:p w:rsidR="005379C1" w:rsidRDefault="005379C1">
                  <w:proofErr w:type="gramStart"/>
                  <w:r>
                    <w:t>-</w:t>
                  </w:r>
                  <w:proofErr w:type="gramEnd"/>
                  <w:r>
                    <w:t xml:space="preserve"> tekniska funktioner</w:t>
                  </w:r>
                  <w:r>
                    <w:br/>
                    <w:t>- layout/design</w:t>
                  </w:r>
                  <w:r>
                    <w:br/>
                    <w:t>- konsulttjänster</w:t>
                  </w:r>
                  <w:r w:rsidR="002E2756">
                    <w:br/>
                    <w:t>- differentierade licenser</w:t>
                  </w:r>
                </w:p>
                <w:p w:rsidR="005379C1" w:rsidRDefault="005379C1"/>
              </w:txbxContent>
            </v:textbox>
          </v:shape>
        </w:pict>
      </w:r>
      <w:r w:rsidR="005379C1">
        <w:rPr>
          <w:bCs/>
          <w:noProof/>
        </w:rPr>
        <w:pict>
          <v:oval id="_x0000_s1026" style="position:absolute;margin-left:117.4pt;margin-top:120.5pt;width:189.75pt;height:80.25pt;rotation:-1311322fd;z-index:251660288" fillcolor="#c0504d [3205]" strokecolor="#f2f2f2 [3041]" strokeweight="3pt">
            <v:shadow on="t" type="perspective" color="#622423 [1605]" opacity=".5" offset="1pt" offset2="-1pt"/>
          </v:oval>
        </w:pict>
      </w:r>
      <w:r w:rsidR="0096384E">
        <w:rPr>
          <w:bCs/>
          <w:noProof/>
        </w:rPr>
        <w:drawing>
          <wp:inline distT="0" distB="0" distL="0" distR="0">
            <wp:extent cx="5486400" cy="3200400"/>
            <wp:effectExtent l="19050" t="0" r="1905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384E" w:rsidRDefault="0096384E" w:rsidP="00243F6C">
      <w:pPr>
        <w:pBdr>
          <w:bottom w:val="single" w:sz="6" w:space="1" w:color="auto"/>
        </w:pBdr>
        <w:rPr>
          <w:bCs/>
          <w:noProof/>
        </w:rPr>
      </w:pPr>
    </w:p>
    <w:p w:rsidR="0096384E" w:rsidRPr="002E2756" w:rsidRDefault="0096384E" w:rsidP="002E2756">
      <w:pPr>
        <w:pBdr>
          <w:bottom w:val="single" w:sz="6" w:space="1" w:color="auto"/>
        </w:pBdr>
        <w:jc w:val="right"/>
        <w:rPr>
          <w:b/>
          <w:bCs/>
        </w:rPr>
      </w:pPr>
    </w:p>
    <w:p w:rsidR="002E2756" w:rsidRPr="002E2756" w:rsidRDefault="002E2756" w:rsidP="002E2756">
      <w:pPr>
        <w:pBdr>
          <w:bottom w:val="single" w:sz="6" w:space="1" w:color="auto"/>
        </w:pBdr>
        <w:jc w:val="center"/>
        <w:rPr>
          <w:b/>
          <w:bCs/>
          <w:highlight w:val="yellow"/>
        </w:rPr>
      </w:pPr>
      <w:r w:rsidRPr="002E2756">
        <w:rPr>
          <w:b/>
          <w:bCs/>
          <w:highlight w:val="yellow"/>
        </w:rPr>
        <w:t>Målet bör vara att ta ungefär dubbelt så mycket</w:t>
      </w:r>
    </w:p>
    <w:p w:rsidR="002E2756" w:rsidRPr="002E2756" w:rsidRDefault="002E2756" w:rsidP="002E2756">
      <w:pPr>
        <w:pBdr>
          <w:bottom w:val="single" w:sz="6" w:space="1" w:color="auto"/>
        </w:pBdr>
        <w:jc w:val="center"/>
        <w:rPr>
          <w:b/>
          <w:bCs/>
          <w:highlight w:val="yellow"/>
        </w:rPr>
      </w:pPr>
      <w:r w:rsidRPr="002E2756">
        <w:rPr>
          <w:b/>
          <w:bCs/>
          <w:highlight w:val="yellow"/>
        </w:rPr>
        <w:t>betalt som ni gör nu för samma typ av arbete</w:t>
      </w:r>
    </w:p>
    <w:p w:rsidR="0096384E" w:rsidRPr="002E2756" w:rsidRDefault="002E2756" w:rsidP="002E2756">
      <w:pPr>
        <w:pBdr>
          <w:bottom w:val="single" w:sz="6" w:space="1" w:color="auto"/>
        </w:pBdr>
        <w:jc w:val="center"/>
        <w:rPr>
          <w:b/>
          <w:bCs/>
        </w:rPr>
      </w:pPr>
      <w:r w:rsidRPr="002E2756">
        <w:rPr>
          <w:b/>
          <w:bCs/>
          <w:highlight w:val="yellow"/>
        </w:rPr>
        <w:t>i ett medelstort projekt.</w:t>
      </w:r>
    </w:p>
    <w:p w:rsidR="003064F2" w:rsidRDefault="003064F2" w:rsidP="00243F6C">
      <w:pPr>
        <w:pBdr>
          <w:bottom w:val="single" w:sz="6" w:space="1" w:color="auto"/>
        </w:pBdr>
        <w:rPr>
          <w:b/>
          <w:bCs/>
        </w:rPr>
      </w:pPr>
    </w:p>
    <w:p w:rsidR="003064F2" w:rsidRDefault="003064F2" w:rsidP="00243F6C">
      <w:pPr>
        <w:pBdr>
          <w:bottom w:val="single" w:sz="6" w:space="1" w:color="auto"/>
        </w:pBdr>
        <w:rPr>
          <w:b/>
          <w:bCs/>
        </w:rPr>
      </w:pPr>
    </w:p>
    <w:p w:rsidR="0023569D" w:rsidRDefault="0023569D" w:rsidP="00243F6C">
      <w:pPr>
        <w:pBdr>
          <w:bottom w:val="single" w:sz="6" w:space="1" w:color="auto"/>
        </w:pBdr>
        <w:rPr>
          <w:b/>
          <w:bCs/>
        </w:rPr>
      </w:pPr>
    </w:p>
    <w:p w:rsidR="0023569D" w:rsidRDefault="0023569D" w:rsidP="00243F6C">
      <w:pPr>
        <w:pBdr>
          <w:bottom w:val="single" w:sz="6" w:space="1" w:color="auto"/>
        </w:pBdr>
        <w:rPr>
          <w:b/>
          <w:bCs/>
        </w:rPr>
      </w:pPr>
    </w:p>
    <w:p w:rsidR="0023569D" w:rsidRDefault="0023569D" w:rsidP="00243F6C">
      <w:pPr>
        <w:pBdr>
          <w:bottom w:val="single" w:sz="6" w:space="1" w:color="auto"/>
        </w:pBdr>
        <w:rPr>
          <w:b/>
          <w:bCs/>
        </w:rPr>
      </w:pPr>
    </w:p>
    <w:p w:rsidR="003064F2" w:rsidRPr="0023569D" w:rsidRDefault="002E2756" w:rsidP="00243F6C">
      <w:pPr>
        <w:pBdr>
          <w:bottom w:val="single" w:sz="6" w:space="1" w:color="auto"/>
        </w:pBdr>
        <w:rPr>
          <w:b/>
          <w:bCs/>
          <w:sz w:val="28"/>
        </w:rPr>
      </w:pPr>
      <w:r w:rsidRPr="0023569D">
        <w:rPr>
          <w:b/>
          <w:bCs/>
          <w:sz w:val="28"/>
        </w:rPr>
        <w:t>NYA kundvärden med nya plattformen</w:t>
      </w:r>
    </w:p>
    <w:p w:rsidR="003064F2" w:rsidRDefault="003064F2" w:rsidP="00243F6C">
      <w:pPr>
        <w:pBdr>
          <w:bottom w:val="single" w:sz="6" w:space="1" w:color="auto"/>
        </w:pBdr>
        <w:rPr>
          <w:b/>
          <w:bCs/>
        </w:rPr>
      </w:pPr>
    </w:p>
    <w:p w:rsidR="002E2756" w:rsidRDefault="002E2756" w:rsidP="00243F6C">
      <w:pPr>
        <w:pBdr>
          <w:bottom w:val="single" w:sz="6" w:space="1" w:color="auto"/>
        </w:pBdr>
        <w:rPr>
          <w:bCs/>
        </w:rPr>
      </w:pPr>
      <w:r w:rsidRPr="002E2756">
        <w:rPr>
          <w:bCs/>
        </w:rPr>
        <w:t>Vi iden</w:t>
      </w:r>
      <w:r>
        <w:rPr>
          <w:bCs/>
        </w:rPr>
        <w:t>tifierade följande faktorer som kan användas för paketering på olika sätt inför lanseringen av nya plattformen</w:t>
      </w:r>
      <w:r w:rsidR="0023569D">
        <w:rPr>
          <w:bCs/>
        </w:rPr>
        <w:t>:</w:t>
      </w:r>
    </w:p>
    <w:p w:rsidR="0078601A" w:rsidRDefault="0078601A" w:rsidP="00243F6C">
      <w:pPr>
        <w:pBdr>
          <w:bottom w:val="single" w:sz="6" w:space="1" w:color="auto"/>
        </w:pBdr>
        <w:rPr>
          <w:bCs/>
        </w:rPr>
      </w:pPr>
    </w:p>
    <w:p w:rsidR="002E2756" w:rsidRPr="0023569D" w:rsidRDefault="0078601A" w:rsidP="0023569D">
      <w:pPr>
        <w:pBdr>
          <w:bottom w:val="single" w:sz="6" w:space="1" w:color="auto"/>
        </w:pBdr>
        <w:rPr>
          <w:bCs/>
        </w:rPr>
      </w:pPr>
      <w:r w:rsidRPr="0023569D">
        <w:rPr>
          <w:b/>
          <w:bCs/>
        </w:rPr>
        <w:t>Utbildning</w:t>
      </w:r>
      <w:r w:rsidRPr="0023569D">
        <w:rPr>
          <w:bCs/>
        </w:rPr>
        <w:t xml:space="preserve">. </w:t>
      </w:r>
      <w:r w:rsidR="002E2756" w:rsidRPr="0023569D">
        <w:rPr>
          <w:bCs/>
        </w:rPr>
        <w:t xml:space="preserve">Utbildning av </w:t>
      </w:r>
      <w:r w:rsidRPr="0023569D">
        <w:rPr>
          <w:bCs/>
        </w:rPr>
        <w:t>kund i både funktion och gränssnitt i koppling till nya S2. Lägg till något i programmet om effektivare TM/CRM process som kan vara intressant för era målgrupper för att förbättra deras arbete eller för att ge era kontaktpersoner en personlig utveckling. Nätverka – mellan era kundkontaktpersoner brukar också vara en uppskattad och värdesatt del på en utbildning.</w:t>
      </w:r>
    </w:p>
    <w:p w:rsidR="002E2756" w:rsidRDefault="002E2756" w:rsidP="0023569D">
      <w:pPr>
        <w:pBdr>
          <w:bottom w:val="single" w:sz="6" w:space="1" w:color="auto"/>
        </w:pBdr>
        <w:rPr>
          <w:bCs/>
        </w:rPr>
      </w:pPr>
    </w:p>
    <w:p w:rsidR="002E2756" w:rsidRPr="0023569D" w:rsidRDefault="0023569D" w:rsidP="0023569D">
      <w:pPr>
        <w:pBdr>
          <w:bottom w:val="single" w:sz="6" w:space="1" w:color="auto"/>
        </w:pBdr>
        <w:rPr>
          <w:bCs/>
        </w:rPr>
      </w:pPr>
      <w:r w:rsidRPr="0023569D">
        <w:rPr>
          <w:b/>
          <w:bCs/>
        </w:rPr>
        <w:t>Effektivitet.</w:t>
      </w:r>
      <w:r w:rsidRPr="0023569D">
        <w:rPr>
          <w:bCs/>
        </w:rPr>
        <w:t xml:space="preserve"> Beskriv hur nya S2 gör era kunder effektivare</w:t>
      </w:r>
    </w:p>
    <w:p w:rsidR="002E2756" w:rsidRDefault="002E2756" w:rsidP="0023569D">
      <w:pPr>
        <w:pBdr>
          <w:bottom w:val="single" w:sz="6" w:space="1" w:color="auto"/>
        </w:pBdr>
        <w:rPr>
          <w:bCs/>
        </w:rPr>
      </w:pPr>
    </w:p>
    <w:p w:rsidR="0023569D" w:rsidRPr="0023569D" w:rsidRDefault="0023569D" w:rsidP="0023569D">
      <w:pPr>
        <w:pBdr>
          <w:bottom w:val="single" w:sz="6" w:space="1" w:color="auto"/>
        </w:pBdr>
        <w:rPr>
          <w:bCs/>
        </w:rPr>
      </w:pPr>
      <w:r w:rsidRPr="0023569D">
        <w:rPr>
          <w:b/>
          <w:bCs/>
        </w:rPr>
        <w:t>Avskalning av funktioner till baspaket.</w:t>
      </w:r>
      <w:r w:rsidRPr="0023569D">
        <w:rPr>
          <w:bCs/>
        </w:rPr>
        <w:t xml:space="preserve"> I baspaketet bör ganska få funktioner ingå, så att ni kan ta mer betalt för de tillval som kunden kan göra själv.</w:t>
      </w:r>
    </w:p>
    <w:p w:rsidR="0023569D" w:rsidRDefault="0023569D" w:rsidP="0023569D">
      <w:pPr>
        <w:pBdr>
          <w:bottom w:val="single" w:sz="6" w:space="1" w:color="auto"/>
        </w:pBdr>
        <w:rPr>
          <w:bCs/>
        </w:rPr>
      </w:pPr>
    </w:p>
    <w:p w:rsidR="0023569D" w:rsidRPr="0023569D" w:rsidRDefault="0023569D" w:rsidP="0023569D">
      <w:pPr>
        <w:pBdr>
          <w:bottom w:val="single" w:sz="6" w:space="1" w:color="auto"/>
        </w:pBdr>
        <w:rPr>
          <w:bCs/>
        </w:rPr>
      </w:pPr>
      <w:r w:rsidRPr="0023569D">
        <w:rPr>
          <w:b/>
          <w:bCs/>
        </w:rPr>
        <w:t>Tilläggsfunktioner</w:t>
      </w:r>
      <w:r w:rsidRPr="0023569D">
        <w:rPr>
          <w:bCs/>
        </w:rPr>
        <w:t>. Vilka funktioner ska inte ingå i baspaketet? Är dessa funktioner användbara för alla användare eller bara visa grupper av användare?</w:t>
      </w:r>
    </w:p>
    <w:p w:rsidR="0023569D" w:rsidRDefault="0023569D" w:rsidP="0023569D">
      <w:pPr>
        <w:pBdr>
          <w:bottom w:val="single" w:sz="6" w:space="1" w:color="auto"/>
        </w:pBdr>
        <w:rPr>
          <w:bCs/>
        </w:rPr>
      </w:pPr>
    </w:p>
    <w:p w:rsidR="0023569D" w:rsidRPr="0023569D" w:rsidRDefault="0023569D" w:rsidP="0023569D">
      <w:pPr>
        <w:pBdr>
          <w:bottom w:val="single" w:sz="6" w:space="1" w:color="auto"/>
        </w:pBdr>
        <w:rPr>
          <w:b/>
          <w:bCs/>
        </w:rPr>
      </w:pPr>
      <w:r w:rsidRPr="0023569D">
        <w:rPr>
          <w:b/>
          <w:bCs/>
        </w:rPr>
        <w:t>Online manualer och hjälp förbättras.</w:t>
      </w:r>
    </w:p>
    <w:p w:rsidR="0023569D" w:rsidRPr="0023569D" w:rsidRDefault="0023569D" w:rsidP="0023569D">
      <w:pPr>
        <w:pBdr>
          <w:bottom w:val="single" w:sz="6" w:space="1" w:color="auto"/>
        </w:pBdr>
        <w:rPr>
          <w:b/>
          <w:bCs/>
        </w:rPr>
      </w:pPr>
    </w:p>
    <w:p w:rsidR="0023569D" w:rsidRPr="0023569D" w:rsidRDefault="0023569D" w:rsidP="0023569D">
      <w:pPr>
        <w:pBdr>
          <w:bottom w:val="single" w:sz="6" w:space="1" w:color="auto"/>
        </w:pBdr>
        <w:rPr>
          <w:b/>
          <w:bCs/>
        </w:rPr>
      </w:pPr>
      <w:r w:rsidRPr="0023569D">
        <w:rPr>
          <w:b/>
          <w:bCs/>
        </w:rPr>
        <w:t>Grafisk form och struktur förbättras.</w:t>
      </w:r>
    </w:p>
    <w:p w:rsidR="0023569D" w:rsidRPr="0023569D" w:rsidRDefault="0023569D" w:rsidP="0023569D">
      <w:pPr>
        <w:pBdr>
          <w:bottom w:val="single" w:sz="6" w:space="1" w:color="auto"/>
        </w:pBdr>
        <w:rPr>
          <w:b/>
          <w:bCs/>
        </w:rPr>
      </w:pPr>
    </w:p>
    <w:p w:rsidR="0023569D" w:rsidRPr="0023569D" w:rsidRDefault="0023569D" w:rsidP="0023569D">
      <w:pPr>
        <w:pBdr>
          <w:bottom w:val="single" w:sz="6" w:space="1" w:color="auto"/>
        </w:pBdr>
        <w:rPr>
          <w:b/>
          <w:bCs/>
        </w:rPr>
      </w:pPr>
      <w:r w:rsidRPr="0023569D">
        <w:rPr>
          <w:b/>
          <w:bCs/>
        </w:rPr>
        <w:t>Support förtydligas</w:t>
      </w:r>
    </w:p>
    <w:p w:rsidR="0023569D" w:rsidRDefault="0023569D" w:rsidP="00243F6C">
      <w:pPr>
        <w:pBdr>
          <w:bottom w:val="single" w:sz="6" w:space="1" w:color="auto"/>
        </w:pBdr>
        <w:rPr>
          <w:bCs/>
        </w:rPr>
      </w:pPr>
    </w:p>
    <w:p w:rsidR="0023569D" w:rsidRDefault="0023569D" w:rsidP="00243F6C">
      <w:pPr>
        <w:pBdr>
          <w:bottom w:val="single" w:sz="6" w:space="1" w:color="auto"/>
        </w:pBdr>
        <w:rPr>
          <w:bCs/>
        </w:rPr>
      </w:pPr>
    </w:p>
    <w:p w:rsidR="002E2756" w:rsidRDefault="002E2756" w:rsidP="00243F6C">
      <w:pPr>
        <w:pBdr>
          <w:bottom w:val="single" w:sz="6" w:space="1" w:color="auto"/>
        </w:pBdr>
        <w:rPr>
          <w:bCs/>
        </w:rPr>
      </w:pPr>
    </w:p>
    <w:p w:rsidR="00C80329" w:rsidRDefault="00C80329" w:rsidP="00C80329">
      <w:pPr>
        <w:pBdr>
          <w:bottom w:val="single" w:sz="6" w:space="1" w:color="auto"/>
        </w:pBdr>
        <w:rPr>
          <w:b/>
          <w:bCs/>
          <w:sz w:val="28"/>
        </w:rPr>
      </w:pPr>
      <w:r>
        <w:rPr>
          <w:b/>
          <w:bCs/>
          <w:sz w:val="28"/>
        </w:rPr>
        <w:t>Förslag till fortsättning</w:t>
      </w:r>
    </w:p>
    <w:p w:rsidR="00C80329" w:rsidRDefault="00C80329" w:rsidP="00C80329">
      <w:pPr>
        <w:pBdr>
          <w:bottom w:val="single" w:sz="6" w:space="1" w:color="auto"/>
        </w:pBdr>
        <w:rPr>
          <w:b/>
          <w:bCs/>
          <w:sz w:val="28"/>
        </w:rPr>
      </w:pPr>
    </w:p>
    <w:p w:rsidR="00C80329" w:rsidRDefault="00C80329" w:rsidP="00C80329">
      <w:pPr>
        <w:pBdr>
          <w:bottom w:val="single" w:sz="6" w:space="1" w:color="auto"/>
        </w:pBdr>
        <w:rPr>
          <w:bCs/>
        </w:rPr>
      </w:pPr>
      <w:r w:rsidRPr="00C80329">
        <w:rPr>
          <w:bCs/>
        </w:rPr>
        <w:t>Jag före</w:t>
      </w:r>
      <w:r>
        <w:rPr>
          <w:bCs/>
        </w:rPr>
        <w:t>slår att vi går vidare med paketering av både funktioner och tjänster. Jag tror det vore bra att hålla en workshop tillsammans med några av dina kollegor. Jag skulle då kunna ta ett tydligt exempel från Wide narrow hur vår ”paketeringsresa” gick till där vi förändrade prisbild och innehåll för våra tjänster. Det känns som att ni är i rätt läge för att börja med detta nu.</w:t>
      </w:r>
    </w:p>
    <w:p w:rsidR="000C10C8" w:rsidRDefault="000C10C8" w:rsidP="00C80329">
      <w:pPr>
        <w:pBdr>
          <w:bottom w:val="single" w:sz="6" w:space="1" w:color="auto"/>
        </w:pBdr>
        <w:rPr>
          <w:bCs/>
        </w:rPr>
      </w:pPr>
      <w:r>
        <w:rPr>
          <w:bCs/>
          <w:noProof/>
        </w:rPr>
        <w:pict>
          <v:shape id="_x0000_s1032" type="#_x0000_t202" style="position:absolute;margin-left:-1.1pt;margin-top:13pt;width:462.75pt;height:152.05pt;z-index:251663360" fillcolor="#fbd4b4 [1305]" stroked="f">
            <v:textbox>
              <w:txbxContent>
                <w:p w:rsidR="000C10C8" w:rsidRPr="000C10C8" w:rsidRDefault="000C10C8" w:rsidP="000C10C8">
                  <w:pPr>
                    <w:pBdr>
                      <w:bottom w:val="single" w:sz="6" w:space="1" w:color="auto"/>
                    </w:pBdr>
                    <w:jc w:val="center"/>
                    <w:rPr>
                      <w:b/>
                      <w:bCs/>
                      <w:sz w:val="24"/>
                    </w:rPr>
                  </w:pPr>
                  <w:r w:rsidRPr="000C10C8">
                    <w:rPr>
                      <w:b/>
                      <w:bCs/>
                      <w:sz w:val="24"/>
                    </w:rPr>
                    <w:t>Workshop Paketering ½ dag</w:t>
                  </w:r>
                </w:p>
                <w:p w:rsidR="000C10C8" w:rsidRDefault="000C10C8" w:rsidP="000C10C8">
                  <w:pPr>
                    <w:pBdr>
                      <w:bottom w:val="single" w:sz="6" w:space="1" w:color="auto"/>
                    </w:pBdr>
                    <w:rPr>
                      <w:bCs/>
                    </w:rPr>
                  </w:pPr>
                </w:p>
                <w:p w:rsidR="000C10C8" w:rsidRPr="008C5531" w:rsidRDefault="000C10C8" w:rsidP="000C10C8">
                  <w:pPr>
                    <w:pBdr>
                      <w:bottom w:val="single" w:sz="6" w:space="1" w:color="auto"/>
                    </w:pBdr>
                    <w:rPr>
                      <w:b/>
                      <w:bCs/>
                    </w:rPr>
                  </w:pPr>
                  <w:r w:rsidRPr="008C5531">
                    <w:rPr>
                      <w:b/>
                      <w:bCs/>
                    </w:rPr>
                    <w:t>Bakgrund</w:t>
                  </w:r>
                </w:p>
                <w:p w:rsidR="000C10C8" w:rsidRDefault="000C10C8" w:rsidP="000C10C8">
                  <w:pPr>
                    <w:pBdr>
                      <w:bottom w:val="single" w:sz="6" w:space="1" w:color="auto"/>
                    </w:pBdr>
                    <w:rPr>
                      <w:bCs/>
                    </w:rPr>
                  </w:pPr>
                  <w:r>
                    <w:rPr>
                      <w:bCs/>
                    </w:rPr>
                    <w:t xml:space="preserve">Pär/Morgan. </w:t>
                  </w:r>
                  <w:r w:rsidRPr="000C10C8">
                    <w:rPr>
                      <w:b/>
                      <w:bCs/>
                    </w:rPr>
                    <w:t>Nuläge</w:t>
                  </w:r>
                  <w:r>
                    <w:rPr>
                      <w:bCs/>
                    </w:rPr>
                    <w:t xml:space="preserve"> – vilka paket kan man köpa av S2 idag? Vilka kundgrupper köper dessa paket? </w:t>
                  </w:r>
                </w:p>
                <w:p w:rsidR="000C10C8" w:rsidRDefault="000C10C8" w:rsidP="000C10C8">
                  <w:pPr>
                    <w:pBdr>
                      <w:bottom w:val="single" w:sz="6" w:space="1" w:color="auto"/>
                    </w:pBdr>
                    <w:rPr>
                      <w:bCs/>
                    </w:rPr>
                  </w:pPr>
                  <w:r>
                    <w:rPr>
                      <w:bCs/>
                    </w:rPr>
                    <w:t xml:space="preserve">Jonas. </w:t>
                  </w:r>
                  <w:r w:rsidRPr="000C10C8">
                    <w:rPr>
                      <w:b/>
                      <w:bCs/>
                    </w:rPr>
                    <w:t>Case Wide narrow</w:t>
                  </w:r>
                  <w:r>
                    <w:rPr>
                      <w:bCs/>
                    </w:rPr>
                    <w:t xml:space="preserve"> – hur dubblade vi priserna genom paketering? </w:t>
                  </w:r>
                </w:p>
                <w:p w:rsidR="000C10C8" w:rsidRDefault="000C10C8" w:rsidP="000C10C8">
                  <w:pPr>
                    <w:pBdr>
                      <w:bottom w:val="single" w:sz="6" w:space="1" w:color="auto"/>
                    </w:pBdr>
                    <w:rPr>
                      <w:bCs/>
                    </w:rPr>
                  </w:pPr>
                  <w:r>
                    <w:rPr>
                      <w:bCs/>
                    </w:rPr>
                    <w:t xml:space="preserve">Pär. </w:t>
                  </w:r>
                  <w:r w:rsidRPr="000C10C8">
                    <w:rPr>
                      <w:b/>
                      <w:bCs/>
                    </w:rPr>
                    <w:t>Case S2.</w:t>
                  </w:r>
                  <w:r>
                    <w:rPr>
                      <w:bCs/>
                    </w:rPr>
                    <w:t xml:space="preserve"> Hur tar S2 betalt idag under ett projekt? Vilken tid läggs i projekten på olika moment? </w:t>
                  </w:r>
                </w:p>
                <w:p w:rsidR="000C10C8" w:rsidRDefault="000C10C8" w:rsidP="000C10C8">
                  <w:pPr>
                    <w:pBdr>
                      <w:bottom w:val="single" w:sz="6" w:space="1" w:color="auto"/>
                    </w:pBdr>
                    <w:rPr>
                      <w:bCs/>
                    </w:rPr>
                  </w:pPr>
                </w:p>
                <w:p w:rsidR="000C10C8" w:rsidRPr="008C5531" w:rsidRDefault="000C10C8" w:rsidP="000C10C8">
                  <w:pPr>
                    <w:pBdr>
                      <w:bottom w:val="single" w:sz="6" w:space="1" w:color="auto"/>
                    </w:pBdr>
                    <w:rPr>
                      <w:b/>
                      <w:bCs/>
                    </w:rPr>
                  </w:pPr>
                  <w:r w:rsidRPr="008C5531">
                    <w:rPr>
                      <w:b/>
                      <w:bCs/>
                    </w:rPr>
                    <w:t>Diskussion</w:t>
                  </w:r>
                  <w:r>
                    <w:rPr>
                      <w:b/>
                      <w:bCs/>
                    </w:rPr>
                    <w:t>spunkter</w:t>
                  </w:r>
                </w:p>
                <w:p w:rsidR="000C10C8" w:rsidRDefault="000C10C8" w:rsidP="000C10C8">
                  <w:pPr>
                    <w:pBdr>
                      <w:bottom w:val="single" w:sz="6" w:space="1" w:color="auto"/>
                    </w:pBdr>
                    <w:rPr>
                      <w:bCs/>
                    </w:rPr>
                  </w:pPr>
                  <w:proofErr w:type="gramStart"/>
                  <w:r>
                    <w:rPr>
                      <w:bCs/>
                    </w:rPr>
                    <w:t>-  Nya</w:t>
                  </w:r>
                  <w:proofErr w:type="gramEnd"/>
                  <w:r>
                    <w:rPr>
                      <w:bCs/>
                    </w:rPr>
                    <w:t xml:space="preserve"> systemet, var finns potential för funktionspaketering?</w:t>
                  </w:r>
                  <w:r>
                    <w:rPr>
                      <w:bCs/>
                    </w:rPr>
                    <w:br/>
                  </w:r>
                  <w:proofErr w:type="gramStart"/>
                  <w:r>
                    <w:rPr>
                      <w:bCs/>
                    </w:rPr>
                    <w:t>-  Var</w:t>
                  </w:r>
                  <w:proofErr w:type="gramEnd"/>
                  <w:r>
                    <w:rPr>
                      <w:bCs/>
                    </w:rPr>
                    <w:t xml:space="preserve"> finns potential för tjänstepaketering? (utbildning, konsultstöd, support)</w:t>
                  </w:r>
                </w:p>
                <w:p w:rsidR="000C10C8" w:rsidRDefault="000C10C8" w:rsidP="000C10C8">
                  <w:pPr>
                    <w:pBdr>
                      <w:bottom w:val="single" w:sz="6" w:space="1" w:color="auto"/>
                    </w:pBdr>
                    <w:rPr>
                      <w:bCs/>
                    </w:rPr>
                  </w:pPr>
                </w:p>
                <w:p w:rsidR="000C10C8" w:rsidRDefault="000C10C8" w:rsidP="000C10C8">
                  <w:pPr>
                    <w:pBdr>
                      <w:bottom w:val="single" w:sz="6" w:space="1" w:color="auto"/>
                    </w:pBdr>
                    <w:rPr>
                      <w:bCs/>
                    </w:rPr>
                  </w:pPr>
                </w:p>
                <w:p w:rsidR="000C10C8" w:rsidRDefault="000C10C8" w:rsidP="000C10C8">
                  <w:pPr>
                    <w:pBdr>
                      <w:bottom w:val="single" w:sz="6" w:space="1" w:color="auto"/>
                    </w:pBdr>
                    <w:rPr>
                      <w:bCs/>
                    </w:rPr>
                  </w:pPr>
                </w:p>
              </w:txbxContent>
            </v:textbox>
          </v:shape>
        </w:pict>
      </w: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p w:rsidR="00C80329" w:rsidRDefault="00C80329" w:rsidP="00C80329">
      <w:pPr>
        <w:pBdr>
          <w:bottom w:val="single" w:sz="6" w:space="1" w:color="auto"/>
        </w:pBdr>
        <w:rPr>
          <w:bCs/>
        </w:rPr>
      </w:pPr>
      <w:r>
        <w:rPr>
          <w:bCs/>
        </w:rPr>
        <w:t>Paketeringen av tjänster och funktioner i systemet behöver gå hand i hand och därför tror jag det är bra att några fler är med på en sådan här workshop.</w:t>
      </w:r>
    </w:p>
    <w:p w:rsidR="000C10C8" w:rsidRDefault="000C10C8" w:rsidP="00C80329">
      <w:pPr>
        <w:pBdr>
          <w:bottom w:val="single" w:sz="6" w:space="1" w:color="auto"/>
        </w:pBdr>
        <w:rPr>
          <w:bCs/>
        </w:rPr>
      </w:pPr>
    </w:p>
    <w:p w:rsidR="000C10C8" w:rsidRDefault="000C10C8" w:rsidP="00C80329">
      <w:pPr>
        <w:pBdr>
          <w:bottom w:val="single" w:sz="6" w:space="1" w:color="auto"/>
        </w:pBdr>
        <w:rPr>
          <w:bCs/>
        </w:rPr>
      </w:pPr>
    </w:p>
    <w:sectPr w:rsidR="000C10C8" w:rsidSect="00A86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B42"/>
    <w:multiLevelType w:val="hybridMultilevel"/>
    <w:tmpl w:val="D940F0EC"/>
    <w:lvl w:ilvl="0" w:tplc="041D000F">
      <w:start w:val="1"/>
      <w:numFmt w:val="decimal"/>
      <w:lvlText w:val="%1."/>
      <w:lvlJc w:val="left"/>
      <w:pPr>
        <w:ind w:left="720" w:hanging="360"/>
      </w:p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1A2D6A4C"/>
    <w:multiLevelType w:val="hybridMultilevel"/>
    <w:tmpl w:val="575E24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A51482C"/>
    <w:multiLevelType w:val="hybridMultilevel"/>
    <w:tmpl w:val="037AA7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77238A"/>
    <w:multiLevelType w:val="hybridMultilevel"/>
    <w:tmpl w:val="5D2CE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C407E6"/>
    <w:multiLevelType w:val="hybridMultilevel"/>
    <w:tmpl w:val="7EB2E1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7C87073"/>
    <w:multiLevelType w:val="hybridMultilevel"/>
    <w:tmpl w:val="13C0EB1A"/>
    <w:lvl w:ilvl="0" w:tplc="A0FA00A4">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nsid w:val="3F915096"/>
    <w:multiLevelType w:val="hybridMultilevel"/>
    <w:tmpl w:val="090C86CA"/>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nsid w:val="70D14C30"/>
    <w:multiLevelType w:val="hybridMultilevel"/>
    <w:tmpl w:val="853AA3E8"/>
    <w:lvl w:ilvl="0" w:tplc="133A1C28">
      <w:start w:val="2"/>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2C95E8D"/>
    <w:multiLevelType w:val="hybridMultilevel"/>
    <w:tmpl w:val="077C7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compat/>
  <w:rsids>
    <w:rsidRoot w:val="00B45C7F"/>
    <w:rsid w:val="000738E5"/>
    <w:rsid w:val="000C10C8"/>
    <w:rsid w:val="000E2930"/>
    <w:rsid w:val="00193353"/>
    <w:rsid w:val="001970DE"/>
    <w:rsid w:val="00201A3E"/>
    <w:rsid w:val="00202429"/>
    <w:rsid w:val="0020550E"/>
    <w:rsid w:val="00221A76"/>
    <w:rsid w:val="00223FA8"/>
    <w:rsid w:val="0023569D"/>
    <w:rsid w:val="00243F6C"/>
    <w:rsid w:val="00254424"/>
    <w:rsid w:val="00265D4F"/>
    <w:rsid w:val="002E2756"/>
    <w:rsid w:val="002F565E"/>
    <w:rsid w:val="00302129"/>
    <w:rsid w:val="003064F2"/>
    <w:rsid w:val="003C2BA5"/>
    <w:rsid w:val="004375C1"/>
    <w:rsid w:val="005379C1"/>
    <w:rsid w:val="00540B89"/>
    <w:rsid w:val="005547F1"/>
    <w:rsid w:val="005E0314"/>
    <w:rsid w:val="00603B70"/>
    <w:rsid w:val="00671018"/>
    <w:rsid w:val="00696088"/>
    <w:rsid w:val="006A370A"/>
    <w:rsid w:val="00727A5D"/>
    <w:rsid w:val="0078601A"/>
    <w:rsid w:val="00820221"/>
    <w:rsid w:val="008557D1"/>
    <w:rsid w:val="008A488A"/>
    <w:rsid w:val="008B2BA9"/>
    <w:rsid w:val="008C5531"/>
    <w:rsid w:val="0096384E"/>
    <w:rsid w:val="009B3FD0"/>
    <w:rsid w:val="009F0BF0"/>
    <w:rsid w:val="00A048B7"/>
    <w:rsid w:val="00A8626B"/>
    <w:rsid w:val="00AE74B3"/>
    <w:rsid w:val="00B24892"/>
    <w:rsid w:val="00B45C7F"/>
    <w:rsid w:val="00B8252C"/>
    <w:rsid w:val="00C67C96"/>
    <w:rsid w:val="00C80329"/>
    <w:rsid w:val="00CC7824"/>
    <w:rsid w:val="00DC554A"/>
    <w:rsid w:val="00EF3B7B"/>
    <w:rsid w:val="00F0020B"/>
    <w:rsid w:val="00F170A1"/>
    <w:rsid w:val="00F320FC"/>
    <w:rsid w:val="00F4737B"/>
    <w:rsid w:val="00F53142"/>
    <w:rsid w:val="00F66496"/>
    <w:rsid w:val="00FE2F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94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C7F"/>
    <w:pPr>
      <w:spacing w:after="0" w:line="240" w:lineRule="auto"/>
    </w:pPr>
    <w:rPr>
      <w:rFonts w:ascii="Calibri" w:hAnsi="Calibri" w:cs="Times New Roman"/>
      <w:lang w:eastAsia="sv-SE"/>
    </w:rPr>
  </w:style>
  <w:style w:type="paragraph" w:styleId="Rubrik1">
    <w:name w:val="heading 1"/>
    <w:basedOn w:val="Normal"/>
    <w:next w:val="Normal"/>
    <w:link w:val="Rubrik1Char"/>
    <w:uiPriority w:val="9"/>
    <w:qFormat/>
    <w:rsid w:val="009F0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960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5C7F"/>
    <w:pPr>
      <w:ind w:left="720"/>
    </w:pPr>
  </w:style>
  <w:style w:type="table" w:styleId="Tabellrutnt">
    <w:name w:val="Table Grid"/>
    <w:basedOn w:val="Normaltabell"/>
    <w:uiPriority w:val="59"/>
    <w:rsid w:val="00F47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696088"/>
    <w:rPr>
      <w:rFonts w:asciiTheme="majorHAnsi" w:eastAsiaTheme="majorEastAsia" w:hAnsiTheme="majorHAnsi" w:cstheme="majorBidi"/>
      <w:b/>
      <w:bCs/>
      <w:color w:val="4F81BD" w:themeColor="accent1"/>
      <w:sz w:val="26"/>
      <w:szCs w:val="26"/>
      <w:lang w:eastAsia="sv-SE"/>
    </w:rPr>
  </w:style>
  <w:style w:type="character" w:customStyle="1" w:styleId="Rubrik1Char">
    <w:name w:val="Rubrik 1 Char"/>
    <w:basedOn w:val="Standardstycketeckensnitt"/>
    <w:link w:val="Rubrik1"/>
    <w:uiPriority w:val="9"/>
    <w:rsid w:val="009F0BF0"/>
    <w:rPr>
      <w:rFonts w:asciiTheme="majorHAnsi" w:eastAsiaTheme="majorEastAsia" w:hAnsiTheme="majorHAnsi" w:cstheme="majorBidi"/>
      <w:b/>
      <w:bCs/>
      <w:color w:val="365F91" w:themeColor="accent1" w:themeShade="BF"/>
      <w:sz w:val="28"/>
      <w:szCs w:val="28"/>
      <w:lang w:eastAsia="sv-SE"/>
    </w:rPr>
  </w:style>
  <w:style w:type="paragraph" w:styleId="Ballongtext">
    <w:name w:val="Balloon Text"/>
    <w:basedOn w:val="Normal"/>
    <w:link w:val="BallongtextChar"/>
    <w:uiPriority w:val="99"/>
    <w:semiHidden/>
    <w:unhideWhenUsed/>
    <w:rsid w:val="00243F6C"/>
    <w:rPr>
      <w:rFonts w:ascii="Tahoma" w:hAnsi="Tahoma" w:cs="Tahoma"/>
      <w:sz w:val="16"/>
      <w:szCs w:val="16"/>
    </w:rPr>
  </w:style>
  <w:style w:type="character" w:customStyle="1" w:styleId="BallongtextChar">
    <w:name w:val="Ballongtext Char"/>
    <w:basedOn w:val="Standardstycketeckensnitt"/>
    <w:link w:val="Ballongtext"/>
    <w:uiPriority w:val="99"/>
    <w:semiHidden/>
    <w:rsid w:val="00243F6C"/>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140470311">
      <w:bodyDiv w:val="1"/>
      <w:marLeft w:val="0"/>
      <w:marRight w:val="0"/>
      <w:marTop w:val="0"/>
      <w:marBottom w:val="0"/>
      <w:divBdr>
        <w:top w:val="none" w:sz="0" w:space="0" w:color="auto"/>
        <w:left w:val="none" w:sz="0" w:space="0" w:color="auto"/>
        <w:bottom w:val="none" w:sz="0" w:space="0" w:color="auto"/>
        <w:right w:val="none" w:sz="0" w:space="0" w:color="auto"/>
      </w:divBdr>
    </w:div>
    <w:div w:id="518466214">
      <w:bodyDiv w:val="1"/>
      <w:marLeft w:val="0"/>
      <w:marRight w:val="0"/>
      <w:marTop w:val="0"/>
      <w:marBottom w:val="0"/>
      <w:divBdr>
        <w:top w:val="none" w:sz="0" w:space="0" w:color="auto"/>
        <w:left w:val="none" w:sz="0" w:space="0" w:color="auto"/>
        <w:bottom w:val="none" w:sz="0" w:space="0" w:color="auto"/>
        <w:right w:val="none" w:sz="0" w:space="0" w:color="auto"/>
      </w:divBdr>
    </w:div>
    <w:div w:id="21241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kalkylblad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v-SE"/>
  <c:chart>
    <c:plotArea>
      <c:layout/>
      <c:lineChart>
        <c:grouping val="standard"/>
        <c:ser>
          <c:idx val="0"/>
          <c:order val="0"/>
          <c:tx>
            <c:strRef>
              <c:f>Blad1!$B$1</c:f>
              <c:strCache>
                <c:ptCount val="1"/>
                <c:pt idx="0">
                  <c:v>Nya S2</c:v>
                </c:pt>
              </c:strCache>
            </c:strRef>
          </c:tx>
          <c:marker>
            <c:symbol val="none"/>
          </c:marker>
          <c:cat>
            <c:strRef>
              <c:f>Blad1!$A$2:$A$5</c:f>
              <c:strCache>
                <c:ptCount val="1"/>
                <c:pt idx="0">
                  <c:v>Antal funktioner</c:v>
                </c:pt>
              </c:strCache>
            </c:strRef>
          </c:cat>
          <c:val>
            <c:numRef>
              <c:f>Blad1!$B$2:$B$5</c:f>
              <c:numCache>
                <c:formatCode>General</c:formatCode>
                <c:ptCount val="4"/>
              </c:numCache>
            </c:numRef>
          </c:val>
        </c:ser>
        <c:ser>
          <c:idx val="1"/>
          <c:order val="1"/>
          <c:tx>
            <c:strRef>
              <c:f>Blad1!$C$1</c:f>
              <c:strCache>
                <c:ptCount val="1"/>
                <c:pt idx="0">
                  <c:v>Gamla S2</c:v>
                </c:pt>
              </c:strCache>
            </c:strRef>
          </c:tx>
          <c:marker>
            <c:symbol val="none"/>
          </c:marker>
          <c:cat>
            <c:strRef>
              <c:f>Blad1!$A$2:$A$5</c:f>
              <c:strCache>
                <c:ptCount val="1"/>
                <c:pt idx="0">
                  <c:v>Antal funktioner</c:v>
                </c:pt>
              </c:strCache>
            </c:strRef>
          </c:cat>
          <c:val>
            <c:numRef>
              <c:f>Blad1!$C$2:$C$5</c:f>
              <c:numCache>
                <c:formatCode>General</c:formatCode>
                <c:ptCount val="4"/>
              </c:numCache>
            </c:numRef>
          </c:val>
        </c:ser>
        <c:marker val="1"/>
        <c:axId val="132396928"/>
        <c:axId val="132398464"/>
      </c:lineChart>
      <c:catAx>
        <c:axId val="132396928"/>
        <c:scaling>
          <c:orientation val="minMax"/>
        </c:scaling>
        <c:axPos val="b"/>
        <c:tickLblPos val="nextTo"/>
        <c:txPr>
          <a:bodyPr/>
          <a:lstStyle/>
          <a:p>
            <a:pPr>
              <a:defRPr b="1" i="1"/>
            </a:pPr>
            <a:endParaRPr lang="sv-SE"/>
          </a:p>
        </c:txPr>
        <c:crossAx val="132398464"/>
        <c:crosses val="autoZero"/>
        <c:auto val="1"/>
        <c:lblAlgn val="ctr"/>
        <c:lblOffset val="100"/>
      </c:catAx>
      <c:valAx>
        <c:axId val="132398464"/>
        <c:scaling>
          <c:orientation val="minMax"/>
        </c:scaling>
        <c:axPos val="l"/>
        <c:majorGridlines/>
        <c:numFmt formatCode="General" sourceLinked="1"/>
        <c:tickLblPos val="nextTo"/>
        <c:crossAx val="132396928"/>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6D3570-972C-41FD-9779-4A5C13048B8D}" type="doc">
      <dgm:prSet loTypeId="urn:microsoft.com/office/officeart/2005/8/layout/hProcess9" loCatId="process" qsTypeId="urn:microsoft.com/office/officeart/2005/8/quickstyle/simple1" qsCatId="simple" csTypeId="urn:microsoft.com/office/officeart/2005/8/colors/accent1_2" csCatId="accent1" phldr="1"/>
      <dgm:spPr/>
    </dgm:pt>
    <dgm:pt modelId="{F7DD172B-1019-49E1-84F8-E43813CAB269}">
      <dgm:prSet phldrT="[Text]"/>
      <dgm:spPr/>
      <dgm:t>
        <a:bodyPr/>
        <a:lstStyle/>
        <a:p>
          <a:r>
            <a:rPr lang="sv-SE" b="1"/>
            <a:t>Feb-Mar</a:t>
          </a:r>
          <a:r>
            <a:rPr lang="sv-SE"/>
            <a:t/>
          </a:r>
          <a:br>
            <a:rPr lang="sv-SE"/>
          </a:br>
          <a:r>
            <a:rPr lang="sv-SE"/>
            <a:t>Paketering</a:t>
          </a:r>
        </a:p>
      </dgm:t>
    </dgm:pt>
    <dgm:pt modelId="{7F0B3757-4379-4644-BD20-19A5ED71D825}" type="parTrans" cxnId="{825608EA-FD8B-4498-AF28-467F2D3E4698}">
      <dgm:prSet/>
      <dgm:spPr/>
      <dgm:t>
        <a:bodyPr/>
        <a:lstStyle/>
        <a:p>
          <a:endParaRPr lang="sv-SE"/>
        </a:p>
      </dgm:t>
    </dgm:pt>
    <dgm:pt modelId="{8C2C52A3-49C4-4C1D-AA51-A6AF66F90DE2}" type="sibTrans" cxnId="{825608EA-FD8B-4498-AF28-467F2D3E4698}">
      <dgm:prSet/>
      <dgm:spPr/>
      <dgm:t>
        <a:bodyPr/>
        <a:lstStyle/>
        <a:p>
          <a:endParaRPr lang="sv-SE"/>
        </a:p>
      </dgm:t>
    </dgm:pt>
    <dgm:pt modelId="{97CCECA5-0F30-4959-8E03-3D517F165F4A}">
      <dgm:prSet phldrT="[Text]"/>
      <dgm:spPr/>
      <dgm:t>
        <a:bodyPr/>
        <a:lstStyle/>
        <a:p>
          <a:r>
            <a:rPr lang="sv-SE" b="1"/>
            <a:t>Mar-Apr</a:t>
          </a:r>
          <a:r>
            <a:rPr lang="sv-SE"/>
            <a:t/>
          </a:r>
          <a:br>
            <a:rPr lang="sv-SE"/>
          </a:br>
          <a:r>
            <a:rPr lang="sv-SE"/>
            <a:t>Ta fram marknads-material </a:t>
          </a:r>
        </a:p>
        <a:p>
          <a:r>
            <a:rPr lang="sv-SE"/>
            <a:t>Försäljning utbildning</a:t>
          </a:r>
        </a:p>
      </dgm:t>
    </dgm:pt>
    <dgm:pt modelId="{9DAC5DC1-82D1-4D13-B3B0-991B25636C84}" type="parTrans" cxnId="{771E1E15-F171-4C03-A5DB-CCD3F19A482B}">
      <dgm:prSet/>
      <dgm:spPr/>
      <dgm:t>
        <a:bodyPr/>
        <a:lstStyle/>
        <a:p>
          <a:endParaRPr lang="sv-SE"/>
        </a:p>
      </dgm:t>
    </dgm:pt>
    <dgm:pt modelId="{DC76C072-C8CF-4C05-AB92-ABD5F3FF915A}" type="sibTrans" cxnId="{771E1E15-F171-4C03-A5DB-CCD3F19A482B}">
      <dgm:prSet/>
      <dgm:spPr/>
      <dgm:t>
        <a:bodyPr/>
        <a:lstStyle/>
        <a:p>
          <a:endParaRPr lang="sv-SE"/>
        </a:p>
      </dgm:t>
    </dgm:pt>
    <dgm:pt modelId="{5B21C747-38F0-4DC3-AABE-2906BD068CFE}">
      <dgm:prSet phldrT="[Text]"/>
      <dgm:spPr/>
      <dgm:t>
        <a:bodyPr/>
        <a:lstStyle/>
        <a:p>
          <a:r>
            <a:rPr lang="sv-SE" b="1"/>
            <a:t>Maj-Jun</a:t>
          </a:r>
          <a:br>
            <a:rPr lang="sv-SE" b="1"/>
          </a:br>
          <a:r>
            <a:rPr lang="sv-SE"/>
            <a:t>Försäljning paket</a:t>
          </a:r>
        </a:p>
        <a:p>
          <a:r>
            <a:rPr lang="sv-SE"/>
            <a:t>Genomförande utbildning x3</a:t>
          </a:r>
          <a:br>
            <a:rPr lang="sv-SE"/>
          </a:br>
          <a:r>
            <a:rPr lang="sv-SE"/>
            <a:t>Teckna nya supportavtal</a:t>
          </a:r>
        </a:p>
      </dgm:t>
    </dgm:pt>
    <dgm:pt modelId="{112CCFEC-F1C8-419B-8925-1A9C36E2226F}" type="parTrans" cxnId="{AA1E165A-7E61-4694-8651-ACD4983B57E0}">
      <dgm:prSet/>
      <dgm:spPr/>
      <dgm:t>
        <a:bodyPr/>
        <a:lstStyle/>
        <a:p>
          <a:endParaRPr lang="sv-SE"/>
        </a:p>
      </dgm:t>
    </dgm:pt>
    <dgm:pt modelId="{68ABB6DC-9237-47C9-83FA-91E4959E5F5D}" type="sibTrans" cxnId="{AA1E165A-7E61-4694-8651-ACD4983B57E0}">
      <dgm:prSet/>
      <dgm:spPr/>
      <dgm:t>
        <a:bodyPr/>
        <a:lstStyle/>
        <a:p>
          <a:endParaRPr lang="sv-SE"/>
        </a:p>
      </dgm:t>
    </dgm:pt>
    <dgm:pt modelId="{EB3B85AB-91BB-4C39-A9D6-C1EC3EC4F536}" type="pres">
      <dgm:prSet presAssocID="{256D3570-972C-41FD-9779-4A5C13048B8D}" presName="CompostProcess" presStyleCnt="0">
        <dgm:presLayoutVars>
          <dgm:dir/>
          <dgm:resizeHandles val="exact"/>
        </dgm:presLayoutVars>
      </dgm:prSet>
      <dgm:spPr/>
    </dgm:pt>
    <dgm:pt modelId="{7FD41D4B-C1D2-495D-84E4-AAAC096814D0}" type="pres">
      <dgm:prSet presAssocID="{256D3570-972C-41FD-9779-4A5C13048B8D}" presName="arrow" presStyleLbl="bgShp" presStyleIdx="0" presStyleCnt="1" custLinFactNeighborX="1681" custLinFactNeighborY="-15909"/>
      <dgm:spPr/>
    </dgm:pt>
    <dgm:pt modelId="{9017360D-4A87-48FE-AF6E-0F75388C9449}" type="pres">
      <dgm:prSet presAssocID="{256D3570-972C-41FD-9779-4A5C13048B8D}" presName="linearProcess" presStyleCnt="0"/>
      <dgm:spPr/>
    </dgm:pt>
    <dgm:pt modelId="{8A9CAF41-99F5-4AC3-A029-431B86BC97A7}" type="pres">
      <dgm:prSet presAssocID="{F7DD172B-1019-49E1-84F8-E43813CAB269}" presName="textNode" presStyleLbl="node1" presStyleIdx="0" presStyleCnt="3" custScaleX="69322">
        <dgm:presLayoutVars>
          <dgm:bulletEnabled val="1"/>
        </dgm:presLayoutVars>
      </dgm:prSet>
      <dgm:spPr/>
      <dgm:t>
        <a:bodyPr/>
        <a:lstStyle/>
        <a:p>
          <a:endParaRPr lang="sv-SE"/>
        </a:p>
      </dgm:t>
    </dgm:pt>
    <dgm:pt modelId="{1E804EBD-47D0-4CD5-9E5C-C7A630C3ABEA}" type="pres">
      <dgm:prSet presAssocID="{8C2C52A3-49C4-4C1D-AA51-A6AF66F90DE2}" presName="sibTrans" presStyleCnt="0"/>
      <dgm:spPr/>
    </dgm:pt>
    <dgm:pt modelId="{475C8280-950A-4078-9903-A62753511842}" type="pres">
      <dgm:prSet presAssocID="{97CCECA5-0F30-4959-8E03-3D517F165F4A}" presName="textNode" presStyleLbl="node1" presStyleIdx="1" presStyleCnt="3" custLinFactNeighborY="-1136">
        <dgm:presLayoutVars>
          <dgm:bulletEnabled val="1"/>
        </dgm:presLayoutVars>
      </dgm:prSet>
      <dgm:spPr/>
      <dgm:t>
        <a:bodyPr/>
        <a:lstStyle/>
        <a:p>
          <a:endParaRPr lang="sv-SE"/>
        </a:p>
      </dgm:t>
    </dgm:pt>
    <dgm:pt modelId="{08C81A6B-DFBA-4B97-A47B-EBBC8D131B3E}" type="pres">
      <dgm:prSet presAssocID="{DC76C072-C8CF-4C05-AB92-ABD5F3FF915A}" presName="sibTrans" presStyleCnt="0"/>
      <dgm:spPr/>
    </dgm:pt>
    <dgm:pt modelId="{44CF5EB9-4C0C-453F-869D-F54B62E8C8F8}" type="pres">
      <dgm:prSet presAssocID="{5B21C747-38F0-4DC3-AABE-2906BD068CFE}" presName="textNode" presStyleLbl="node1" presStyleIdx="2" presStyleCnt="3" custScaleY="141752">
        <dgm:presLayoutVars>
          <dgm:bulletEnabled val="1"/>
        </dgm:presLayoutVars>
      </dgm:prSet>
      <dgm:spPr/>
      <dgm:t>
        <a:bodyPr/>
        <a:lstStyle/>
        <a:p>
          <a:endParaRPr lang="sv-SE"/>
        </a:p>
      </dgm:t>
    </dgm:pt>
  </dgm:ptLst>
  <dgm:cxnLst>
    <dgm:cxn modelId="{AA1E165A-7E61-4694-8651-ACD4983B57E0}" srcId="{256D3570-972C-41FD-9779-4A5C13048B8D}" destId="{5B21C747-38F0-4DC3-AABE-2906BD068CFE}" srcOrd="2" destOrd="0" parTransId="{112CCFEC-F1C8-419B-8925-1A9C36E2226F}" sibTransId="{68ABB6DC-9237-47C9-83FA-91E4959E5F5D}"/>
    <dgm:cxn modelId="{1965F37F-1B1F-4495-A8B6-6E02DA8E8EB5}" type="presOf" srcId="{F7DD172B-1019-49E1-84F8-E43813CAB269}" destId="{8A9CAF41-99F5-4AC3-A029-431B86BC97A7}" srcOrd="0" destOrd="0" presId="urn:microsoft.com/office/officeart/2005/8/layout/hProcess9"/>
    <dgm:cxn modelId="{E3527B23-AD00-451D-9DDE-92919A575979}" type="presOf" srcId="{256D3570-972C-41FD-9779-4A5C13048B8D}" destId="{EB3B85AB-91BB-4C39-A9D6-C1EC3EC4F536}" srcOrd="0" destOrd="0" presId="urn:microsoft.com/office/officeart/2005/8/layout/hProcess9"/>
    <dgm:cxn modelId="{771E1E15-F171-4C03-A5DB-CCD3F19A482B}" srcId="{256D3570-972C-41FD-9779-4A5C13048B8D}" destId="{97CCECA5-0F30-4959-8E03-3D517F165F4A}" srcOrd="1" destOrd="0" parTransId="{9DAC5DC1-82D1-4D13-B3B0-991B25636C84}" sibTransId="{DC76C072-C8CF-4C05-AB92-ABD5F3FF915A}"/>
    <dgm:cxn modelId="{825608EA-FD8B-4498-AF28-467F2D3E4698}" srcId="{256D3570-972C-41FD-9779-4A5C13048B8D}" destId="{F7DD172B-1019-49E1-84F8-E43813CAB269}" srcOrd="0" destOrd="0" parTransId="{7F0B3757-4379-4644-BD20-19A5ED71D825}" sibTransId="{8C2C52A3-49C4-4C1D-AA51-A6AF66F90DE2}"/>
    <dgm:cxn modelId="{87A722AB-328B-490B-A647-E5DCA4B18EF6}" type="presOf" srcId="{5B21C747-38F0-4DC3-AABE-2906BD068CFE}" destId="{44CF5EB9-4C0C-453F-869D-F54B62E8C8F8}" srcOrd="0" destOrd="0" presId="urn:microsoft.com/office/officeart/2005/8/layout/hProcess9"/>
    <dgm:cxn modelId="{AB799469-E234-408D-8BF4-FD450EB5855C}" type="presOf" srcId="{97CCECA5-0F30-4959-8E03-3D517F165F4A}" destId="{475C8280-950A-4078-9903-A62753511842}" srcOrd="0" destOrd="0" presId="urn:microsoft.com/office/officeart/2005/8/layout/hProcess9"/>
    <dgm:cxn modelId="{91204732-AD75-40B3-98A5-E01C4E63BB5E}" type="presParOf" srcId="{EB3B85AB-91BB-4C39-A9D6-C1EC3EC4F536}" destId="{7FD41D4B-C1D2-495D-84E4-AAAC096814D0}" srcOrd="0" destOrd="0" presId="urn:microsoft.com/office/officeart/2005/8/layout/hProcess9"/>
    <dgm:cxn modelId="{F1CE9A54-D528-42F4-AC31-FB145D713DEF}" type="presParOf" srcId="{EB3B85AB-91BB-4C39-A9D6-C1EC3EC4F536}" destId="{9017360D-4A87-48FE-AF6E-0F75388C9449}" srcOrd="1" destOrd="0" presId="urn:microsoft.com/office/officeart/2005/8/layout/hProcess9"/>
    <dgm:cxn modelId="{339DA98C-AE98-4251-A2E0-AF59DD0CAA8D}" type="presParOf" srcId="{9017360D-4A87-48FE-AF6E-0F75388C9449}" destId="{8A9CAF41-99F5-4AC3-A029-431B86BC97A7}" srcOrd="0" destOrd="0" presId="urn:microsoft.com/office/officeart/2005/8/layout/hProcess9"/>
    <dgm:cxn modelId="{ABEF3218-4710-443D-8645-3C1AD8EC3B2D}" type="presParOf" srcId="{9017360D-4A87-48FE-AF6E-0F75388C9449}" destId="{1E804EBD-47D0-4CD5-9E5C-C7A630C3ABEA}" srcOrd="1" destOrd="0" presId="urn:microsoft.com/office/officeart/2005/8/layout/hProcess9"/>
    <dgm:cxn modelId="{8164E78D-AC9B-45DA-8D35-54DD941FCCB5}" type="presParOf" srcId="{9017360D-4A87-48FE-AF6E-0F75388C9449}" destId="{475C8280-950A-4078-9903-A62753511842}" srcOrd="2" destOrd="0" presId="urn:microsoft.com/office/officeart/2005/8/layout/hProcess9"/>
    <dgm:cxn modelId="{A272EC2B-A3E3-4F07-9C31-18255042848B}" type="presParOf" srcId="{9017360D-4A87-48FE-AF6E-0F75388C9449}" destId="{08C81A6B-DFBA-4B97-A47B-EBBC8D131B3E}" srcOrd="3" destOrd="0" presId="urn:microsoft.com/office/officeart/2005/8/layout/hProcess9"/>
    <dgm:cxn modelId="{F8A95653-B952-4338-9F36-4A65B592F4F2}" type="presParOf" srcId="{9017360D-4A87-48FE-AF6E-0F75388C9449}" destId="{44CF5EB9-4C0C-453F-869D-F54B62E8C8F8}" srcOrd="4"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4246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Nordström</dc:creator>
  <cp:lastModifiedBy>Jonas Nordström</cp:lastModifiedBy>
  <cp:revision>3</cp:revision>
  <cp:lastPrinted>2009-12-10T08:06:00Z</cp:lastPrinted>
  <dcterms:created xsi:type="dcterms:W3CDTF">2010-01-21T10:13:00Z</dcterms:created>
  <dcterms:modified xsi:type="dcterms:W3CDTF">2010-01-21T10:14:00Z</dcterms:modified>
</cp:coreProperties>
</file>